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3A" w:rsidRPr="003A61BA" w:rsidRDefault="00C36B3A" w:rsidP="00C36B3A">
      <w:pPr>
        <w:pStyle w:val="NormalWeb"/>
        <w:jc w:val="center"/>
        <w:rPr>
          <w:rStyle w:val="Strong"/>
          <w:rFonts w:ascii="Arial" w:hAnsi="Arial" w:cs="Arial"/>
          <w:color w:val="000000"/>
          <w:sz w:val="28"/>
          <w:szCs w:val="28"/>
          <w:u w:val="single"/>
        </w:rPr>
      </w:pPr>
      <w:r w:rsidRPr="003A61BA">
        <w:rPr>
          <w:rFonts w:ascii="Lucida Sans" w:hAnsi="Lucida Sans"/>
          <w:noProof/>
          <w:color w:val="646464"/>
          <w:sz w:val="28"/>
          <w:szCs w:val="28"/>
        </w:rPr>
        <w:drawing>
          <wp:anchor distT="0" distB="0" distL="114300" distR="114300" simplePos="0" relativeHeight="251657216" behindDoc="0" locked="0" layoutInCell="1" allowOverlap="1" wp14:anchorId="59F403BF" wp14:editId="014098D9">
            <wp:simplePos x="0" y="0"/>
            <wp:positionH relativeFrom="margin">
              <wp:posOffset>4485640</wp:posOffset>
            </wp:positionH>
            <wp:positionV relativeFrom="paragraph">
              <wp:posOffset>-596900</wp:posOffset>
            </wp:positionV>
            <wp:extent cx="465993"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113" cy="599517"/>
                    </a:xfrm>
                    <a:prstGeom prst="rect">
                      <a:avLst/>
                    </a:prstGeom>
                  </pic:spPr>
                </pic:pic>
              </a:graphicData>
            </a:graphic>
            <wp14:sizeRelH relativeFrom="margin">
              <wp14:pctWidth>0</wp14:pctWidth>
            </wp14:sizeRelH>
            <wp14:sizeRelV relativeFrom="margin">
              <wp14:pctHeight>0</wp14:pctHeight>
            </wp14:sizeRelV>
          </wp:anchor>
        </w:drawing>
      </w:r>
      <w:r w:rsidRPr="003A61BA">
        <w:rPr>
          <w:rStyle w:val="Strong"/>
          <w:rFonts w:ascii="Arial" w:hAnsi="Arial" w:cs="Arial"/>
          <w:color w:val="000000"/>
          <w:sz w:val="28"/>
          <w:szCs w:val="28"/>
          <w:u w:val="single"/>
        </w:rPr>
        <w:t>Pupil Premium Report</w:t>
      </w:r>
    </w:p>
    <w:p w:rsidR="00C36B3A" w:rsidRPr="003A61BA" w:rsidRDefault="00C36B3A" w:rsidP="00C36B3A">
      <w:pPr>
        <w:pStyle w:val="NormalWeb"/>
        <w:jc w:val="center"/>
        <w:rPr>
          <w:rStyle w:val="Strong"/>
          <w:rFonts w:ascii="Arial" w:hAnsi="Arial" w:cs="Arial"/>
          <w:color w:val="000000"/>
          <w:sz w:val="28"/>
          <w:szCs w:val="28"/>
          <w:u w:val="single"/>
        </w:rPr>
      </w:pPr>
      <w:r w:rsidRPr="003A61BA">
        <w:rPr>
          <w:rStyle w:val="Strong"/>
          <w:rFonts w:ascii="Arial" w:hAnsi="Arial" w:cs="Arial"/>
          <w:color w:val="000000"/>
          <w:sz w:val="28"/>
          <w:szCs w:val="28"/>
          <w:u w:val="single"/>
        </w:rPr>
        <w:t>Financial Year 201</w:t>
      </w:r>
      <w:r w:rsidR="0008750A" w:rsidRPr="003A61BA">
        <w:rPr>
          <w:rStyle w:val="Strong"/>
          <w:rFonts w:ascii="Arial" w:hAnsi="Arial" w:cs="Arial"/>
          <w:color w:val="000000"/>
          <w:sz w:val="28"/>
          <w:szCs w:val="28"/>
          <w:u w:val="single"/>
        </w:rPr>
        <w:t>4</w:t>
      </w:r>
      <w:r w:rsidRPr="003A61BA">
        <w:rPr>
          <w:rStyle w:val="Strong"/>
          <w:rFonts w:ascii="Arial" w:hAnsi="Arial" w:cs="Arial"/>
          <w:color w:val="000000"/>
          <w:sz w:val="28"/>
          <w:szCs w:val="28"/>
          <w:u w:val="single"/>
        </w:rPr>
        <w:t>/201</w:t>
      </w:r>
      <w:r w:rsidR="0008750A" w:rsidRPr="003A61BA">
        <w:rPr>
          <w:rStyle w:val="Strong"/>
          <w:rFonts w:ascii="Arial" w:hAnsi="Arial" w:cs="Arial"/>
          <w:color w:val="000000"/>
          <w:sz w:val="28"/>
          <w:szCs w:val="28"/>
          <w:u w:val="single"/>
        </w:rPr>
        <w:t>5</w:t>
      </w:r>
    </w:p>
    <w:p w:rsidR="00DC0DBE" w:rsidRDefault="00DC0DBE" w:rsidP="00DC0DBE">
      <w:pPr>
        <w:rPr>
          <w:rFonts w:ascii="Arial" w:hAnsi="Arial" w:cs="Arial"/>
          <w:sz w:val="24"/>
          <w:szCs w:val="24"/>
        </w:rPr>
      </w:pPr>
      <w:r w:rsidRPr="00DC0DBE">
        <w:rPr>
          <w:rFonts w:ascii="Arial" w:hAnsi="Arial" w:cs="Arial"/>
          <w:sz w:val="24"/>
          <w:szCs w:val="24"/>
        </w:rPr>
        <w:t>In the financial year 201</w:t>
      </w:r>
      <w:r w:rsidR="0008750A">
        <w:rPr>
          <w:rFonts w:ascii="Arial" w:hAnsi="Arial" w:cs="Arial"/>
          <w:sz w:val="24"/>
          <w:szCs w:val="24"/>
        </w:rPr>
        <w:t>4</w:t>
      </w:r>
      <w:r w:rsidRPr="00DC0DBE">
        <w:rPr>
          <w:rFonts w:ascii="Arial" w:hAnsi="Arial" w:cs="Arial"/>
          <w:sz w:val="24"/>
          <w:szCs w:val="24"/>
        </w:rPr>
        <w:t>/1</w:t>
      </w:r>
      <w:r w:rsidR="0008750A">
        <w:rPr>
          <w:rFonts w:ascii="Arial" w:hAnsi="Arial" w:cs="Arial"/>
          <w:sz w:val="24"/>
          <w:szCs w:val="24"/>
        </w:rPr>
        <w:t>5 the school ha</w:t>
      </w:r>
      <w:r w:rsidR="00F51BCE">
        <w:rPr>
          <w:rFonts w:ascii="Arial" w:hAnsi="Arial" w:cs="Arial"/>
          <w:sz w:val="24"/>
          <w:szCs w:val="24"/>
        </w:rPr>
        <w:t>d</w:t>
      </w:r>
      <w:r w:rsidR="0008750A">
        <w:rPr>
          <w:rFonts w:ascii="Arial" w:hAnsi="Arial" w:cs="Arial"/>
          <w:sz w:val="24"/>
          <w:szCs w:val="24"/>
        </w:rPr>
        <w:t xml:space="preserve"> fixed a budget of  </w:t>
      </w:r>
      <w:r w:rsidRPr="00DC0DBE">
        <w:rPr>
          <w:rFonts w:ascii="Arial" w:hAnsi="Arial" w:cs="Arial"/>
          <w:sz w:val="24"/>
          <w:szCs w:val="24"/>
        </w:rPr>
        <w:t>£</w:t>
      </w:r>
      <w:r w:rsidR="0008750A">
        <w:rPr>
          <w:rFonts w:ascii="Arial" w:hAnsi="Arial" w:cs="Arial"/>
          <w:sz w:val="24"/>
          <w:szCs w:val="24"/>
        </w:rPr>
        <w:t>11,610</w:t>
      </w:r>
      <w:r w:rsidR="001C7F63">
        <w:rPr>
          <w:rFonts w:ascii="Arial" w:hAnsi="Arial" w:cs="Arial"/>
          <w:sz w:val="24"/>
          <w:szCs w:val="24"/>
        </w:rPr>
        <w:t xml:space="preserve"> </w:t>
      </w:r>
      <w:r w:rsidRPr="00DC0DBE">
        <w:rPr>
          <w:rFonts w:ascii="Arial" w:hAnsi="Arial" w:cs="Arial"/>
          <w:sz w:val="24"/>
          <w:szCs w:val="24"/>
        </w:rPr>
        <w:t xml:space="preserve">in </w:t>
      </w:r>
      <w:r w:rsidR="0008750A">
        <w:rPr>
          <w:rFonts w:ascii="Arial" w:hAnsi="Arial" w:cs="Arial"/>
          <w:sz w:val="24"/>
          <w:szCs w:val="24"/>
        </w:rPr>
        <w:t>pupil premium funding based on 9</w:t>
      </w:r>
      <w:r w:rsidRPr="00DC0DBE">
        <w:rPr>
          <w:rFonts w:ascii="Arial" w:hAnsi="Arial" w:cs="Arial"/>
          <w:sz w:val="24"/>
          <w:szCs w:val="24"/>
        </w:rPr>
        <w:t xml:space="preserve"> pupils who </w:t>
      </w:r>
      <w:r w:rsidR="0008750A">
        <w:rPr>
          <w:rFonts w:ascii="Arial" w:hAnsi="Arial" w:cs="Arial"/>
          <w:sz w:val="24"/>
          <w:szCs w:val="24"/>
        </w:rPr>
        <w:t xml:space="preserve">are currently </w:t>
      </w:r>
      <w:r w:rsidRPr="00DC0DBE">
        <w:rPr>
          <w:rFonts w:ascii="Arial" w:hAnsi="Arial" w:cs="Arial"/>
          <w:sz w:val="24"/>
          <w:szCs w:val="24"/>
        </w:rPr>
        <w:t>eligible</w:t>
      </w:r>
      <w:r w:rsidR="0008750A">
        <w:rPr>
          <w:rFonts w:ascii="Arial" w:hAnsi="Arial" w:cs="Arial"/>
          <w:sz w:val="24"/>
          <w:szCs w:val="24"/>
        </w:rPr>
        <w:t xml:space="preserve"> (This only identifies the budget we expect to receive and is subject to change throughout the year as Local Authorities release funding termly.  Where the funding relates to Looked After Children this is only released once satisfactory Pupil Education Plans are submitted and agreed by the relevant authority).</w:t>
      </w:r>
      <w:r w:rsidRPr="00DC0DBE">
        <w:rPr>
          <w:rFonts w:ascii="Arial" w:hAnsi="Arial" w:cs="Arial"/>
          <w:sz w:val="24"/>
          <w:szCs w:val="24"/>
        </w:rPr>
        <w:t xml:space="preserve">  The money </w:t>
      </w:r>
      <w:r w:rsidR="00BA732E">
        <w:rPr>
          <w:rFonts w:ascii="Arial" w:hAnsi="Arial" w:cs="Arial"/>
          <w:sz w:val="24"/>
          <w:szCs w:val="24"/>
        </w:rPr>
        <w:t xml:space="preserve">has been </w:t>
      </w:r>
      <w:r w:rsidR="003E7ACD">
        <w:rPr>
          <w:rFonts w:ascii="Arial" w:hAnsi="Arial" w:cs="Arial"/>
          <w:sz w:val="24"/>
          <w:szCs w:val="24"/>
        </w:rPr>
        <w:t>as</w:t>
      </w:r>
      <w:r w:rsidR="003E7ACD" w:rsidRPr="00DC0DBE">
        <w:rPr>
          <w:rFonts w:ascii="Arial" w:hAnsi="Arial" w:cs="Arial"/>
          <w:sz w:val="24"/>
          <w:szCs w:val="24"/>
        </w:rPr>
        <w:t>sig</w:t>
      </w:r>
      <w:r w:rsidR="003E7ACD">
        <w:rPr>
          <w:rFonts w:ascii="Arial" w:hAnsi="Arial" w:cs="Arial"/>
          <w:sz w:val="24"/>
          <w:szCs w:val="24"/>
        </w:rPr>
        <w:t>n</w:t>
      </w:r>
      <w:r w:rsidR="003E7ACD" w:rsidRPr="00DC0DBE">
        <w:rPr>
          <w:rFonts w:ascii="Arial" w:hAnsi="Arial" w:cs="Arial"/>
          <w:sz w:val="24"/>
          <w:szCs w:val="24"/>
        </w:rPr>
        <w:t>ed</w:t>
      </w:r>
      <w:r w:rsidRPr="00DC0DBE">
        <w:rPr>
          <w:rFonts w:ascii="Arial" w:hAnsi="Arial" w:cs="Arial"/>
          <w:sz w:val="24"/>
          <w:szCs w:val="24"/>
        </w:rPr>
        <w:t xml:space="preserve"> to meet the needs of pupils as follows:</w:t>
      </w:r>
    </w:p>
    <w:tbl>
      <w:tblPr>
        <w:tblStyle w:val="TableGrid"/>
        <w:tblW w:w="14737" w:type="dxa"/>
        <w:tblLook w:val="04A0" w:firstRow="1" w:lastRow="0" w:firstColumn="1" w:lastColumn="0" w:noHBand="0" w:noVBand="1"/>
      </w:tblPr>
      <w:tblGrid>
        <w:gridCol w:w="2376"/>
        <w:gridCol w:w="6371"/>
        <w:gridCol w:w="1284"/>
        <w:gridCol w:w="4706"/>
      </w:tblGrid>
      <w:tr w:rsidR="004F56C5" w:rsidTr="004F56C5">
        <w:tc>
          <w:tcPr>
            <w:tcW w:w="2376" w:type="dxa"/>
            <w:vAlign w:val="center"/>
          </w:tcPr>
          <w:p w:rsidR="004F56C5" w:rsidRPr="00DC0DBE" w:rsidRDefault="004F56C5" w:rsidP="00741B2F">
            <w:pPr>
              <w:jc w:val="center"/>
              <w:rPr>
                <w:rFonts w:ascii="Arial" w:hAnsi="Arial" w:cs="Arial"/>
                <w:sz w:val="24"/>
                <w:szCs w:val="24"/>
              </w:rPr>
            </w:pPr>
            <w:r w:rsidRPr="00DC0DBE">
              <w:rPr>
                <w:rFonts w:ascii="Arial" w:hAnsi="Arial" w:cs="Arial"/>
                <w:sz w:val="24"/>
                <w:szCs w:val="24"/>
              </w:rPr>
              <w:t>Resource</w:t>
            </w:r>
          </w:p>
        </w:tc>
        <w:tc>
          <w:tcPr>
            <w:tcW w:w="6371" w:type="dxa"/>
            <w:vAlign w:val="center"/>
          </w:tcPr>
          <w:p w:rsidR="004F56C5" w:rsidRPr="00DC0DBE" w:rsidRDefault="004F56C5" w:rsidP="00741B2F">
            <w:pPr>
              <w:jc w:val="center"/>
              <w:rPr>
                <w:rFonts w:ascii="Arial" w:hAnsi="Arial" w:cs="Arial"/>
                <w:sz w:val="24"/>
                <w:szCs w:val="24"/>
              </w:rPr>
            </w:pPr>
            <w:r>
              <w:rPr>
                <w:rFonts w:ascii="Arial" w:hAnsi="Arial" w:cs="Arial"/>
                <w:sz w:val="24"/>
                <w:szCs w:val="24"/>
              </w:rPr>
              <w:t xml:space="preserve">Rationale </w:t>
            </w:r>
          </w:p>
        </w:tc>
        <w:tc>
          <w:tcPr>
            <w:tcW w:w="1284" w:type="dxa"/>
            <w:vAlign w:val="center"/>
          </w:tcPr>
          <w:p w:rsidR="004F56C5" w:rsidRPr="00DC0DBE" w:rsidRDefault="004F56C5" w:rsidP="00741B2F">
            <w:pPr>
              <w:jc w:val="center"/>
              <w:rPr>
                <w:rFonts w:ascii="Arial" w:hAnsi="Arial" w:cs="Arial"/>
                <w:sz w:val="24"/>
                <w:szCs w:val="24"/>
              </w:rPr>
            </w:pPr>
            <w:r w:rsidRPr="00DC0DBE">
              <w:rPr>
                <w:rFonts w:ascii="Arial" w:hAnsi="Arial" w:cs="Arial"/>
                <w:sz w:val="24"/>
                <w:szCs w:val="24"/>
              </w:rPr>
              <w:t>Cost</w:t>
            </w:r>
            <w:r>
              <w:rPr>
                <w:rFonts w:ascii="Arial" w:hAnsi="Arial" w:cs="Arial"/>
                <w:sz w:val="24"/>
                <w:szCs w:val="24"/>
              </w:rPr>
              <w:t xml:space="preserve"> (rounded)</w:t>
            </w:r>
          </w:p>
        </w:tc>
        <w:tc>
          <w:tcPr>
            <w:tcW w:w="4706" w:type="dxa"/>
            <w:vAlign w:val="center"/>
          </w:tcPr>
          <w:p w:rsidR="004F56C5" w:rsidRPr="00DC0DBE" w:rsidRDefault="004F56C5" w:rsidP="004F56C5">
            <w:pPr>
              <w:jc w:val="center"/>
              <w:rPr>
                <w:rFonts w:ascii="Arial" w:hAnsi="Arial" w:cs="Arial"/>
                <w:sz w:val="24"/>
                <w:szCs w:val="24"/>
              </w:rPr>
            </w:pPr>
            <w:r>
              <w:rPr>
                <w:rFonts w:ascii="Arial" w:hAnsi="Arial" w:cs="Arial"/>
                <w:sz w:val="24"/>
                <w:szCs w:val="24"/>
              </w:rPr>
              <w:t>Outcomes</w:t>
            </w:r>
          </w:p>
        </w:tc>
      </w:tr>
      <w:tr w:rsidR="004F56C5" w:rsidTr="004F56C5">
        <w:tc>
          <w:tcPr>
            <w:tcW w:w="2376" w:type="dxa"/>
          </w:tcPr>
          <w:p w:rsidR="004F56C5" w:rsidRPr="00DC0DBE" w:rsidRDefault="004F56C5" w:rsidP="00741B2F">
            <w:pPr>
              <w:rPr>
                <w:rFonts w:ascii="Arial" w:hAnsi="Arial" w:cs="Arial"/>
                <w:sz w:val="24"/>
                <w:szCs w:val="24"/>
              </w:rPr>
            </w:pPr>
            <w:r w:rsidRPr="00DC0DBE">
              <w:rPr>
                <w:rFonts w:ascii="Arial" w:hAnsi="Arial" w:cs="Arial"/>
                <w:sz w:val="24"/>
                <w:szCs w:val="24"/>
              </w:rPr>
              <w:t>Providing personal netbooks, wireless access and training </w:t>
            </w:r>
          </w:p>
        </w:tc>
        <w:tc>
          <w:tcPr>
            <w:tcW w:w="6371" w:type="dxa"/>
          </w:tcPr>
          <w:p w:rsidR="004F56C5" w:rsidRPr="00DC0DBE" w:rsidRDefault="004F56C5" w:rsidP="00741B2F">
            <w:pPr>
              <w:rPr>
                <w:rFonts w:ascii="Arial" w:hAnsi="Arial" w:cs="Arial"/>
                <w:sz w:val="24"/>
                <w:szCs w:val="24"/>
              </w:rPr>
            </w:pPr>
            <w:r w:rsidRPr="00DC0DBE">
              <w:rPr>
                <w:rFonts w:ascii="Arial" w:hAnsi="Arial" w:cs="Arial"/>
                <w:sz w:val="24"/>
                <w:szCs w:val="24"/>
              </w:rPr>
              <w:t>Enables pupils to access schools virtual learning platform, complete homework and a range of literacy and numeracy intervention programs</w:t>
            </w:r>
          </w:p>
        </w:tc>
        <w:tc>
          <w:tcPr>
            <w:tcW w:w="1284" w:type="dxa"/>
          </w:tcPr>
          <w:p w:rsidR="004F56C5" w:rsidRPr="00DC0DBE" w:rsidRDefault="004F56C5" w:rsidP="00741B2F">
            <w:pPr>
              <w:jc w:val="right"/>
              <w:rPr>
                <w:rFonts w:ascii="Arial" w:hAnsi="Arial" w:cs="Arial"/>
                <w:sz w:val="24"/>
                <w:szCs w:val="24"/>
              </w:rPr>
            </w:pPr>
          </w:p>
          <w:p w:rsidR="004F56C5" w:rsidRPr="00662C27" w:rsidRDefault="004F56C5" w:rsidP="00741B2F">
            <w:pPr>
              <w:jc w:val="right"/>
              <w:rPr>
                <w:rFonts w:ascii="Arial" w:hAnsi="Arial" w:cs="Arial"/>
                <w:b/>
                <w:sz w:val="24"/>
                <w:szCs w:val="24"/>
              </w:rPr>
            </w:pPr>
            <w:r w:rsidRPr="00662C27">
              <w:rPr>
                <w:rFonts w:ascii="Arial" w:hAnsi="Arial" w:cs="Arial"/>
                <w:b/>
                <w:sz w:val="24"/>
                <w:szCs w:val="24"/>
              </w:rPr>
              <w:t>£50.00</w:t>
            </w:r>
          </w:p>
          <w:p w:rsidR="004F56C5" w:rsidRPr="00DC0DBE" w:rsidRDefault="004F56C5" w:rsidP="00741B2F">
            <w:pPr>
              <w:jc w:val="right"/>
              <w:rPr>
                <w:rFonts w:ascii="Arial" w:hAnsi="Arial" w:cs="Arial"/>
                <w:sz w:val="24"/>
                <w:szCs w:val="24"/>
              </w:rPr>
            </w:pPr>
          </w:p>
        </w:tc>
        <w:tc>
          <w:tcPr>
            <w:tcW w:w="4706" w:type="dxa"/>
            <w:vMerge w:val="restart"/>
          </w:tcPr>
          <w:p w:rsidR="004F56C5" w:rsidRPr="00BF201A" w:rsidRDefault="004F56C5" w:rsidP="004F56C5">
            <w:pPr>
              <w:rPr>
                <w:rFonts w:ascii="Arial" w:hAnsi="Arial" w:cs="Arial"/>
                <w:sz w:val="24"/>
                <w:szCs w:val="24"/>
              </w:rPr>
            </w:pPr>
            <w:r w:rsidRPr="00BF201A">
              <w:rPr>
                <w:rFonts w:ascii="Arial" w:hAnsi="Arial" w:cs="Arial"/>
                <w:sz w:val="24"/>
                <w:szCs w:val="24"/>
              </w:rPr>
              <w:t xml:space="preserve">Based on last year’s end of Key Stage data, outcomes for disadvantage pupils was very good </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t>Percentage achieving expected progress and more than expected progress from different starting points was 100%</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t xml:space="preserve">Disadvantaged KS2 pupils had an average point score equal to or above the national score for other pupils in mathematics. </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t xml:space="preserve">Disadvantaged KS1 pupils had an average point score above the national score for other pupils in reading, writing &amp; mathematics. </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t>The proportion of disadvantaged KS2 pupils that attained at least Level 4 was equal to or above the national figure for other pupils in mathe</w:t>
            </w:r>
            <w:bookmarkStart w:id="0" w:name="_GoBack"/>
            <w:bookmarkEnd w:id="0"/>
            <w:r w:rsidRPr="00BF201A">
              <w:rPr>
                <w:rFonts w:ascii="Arial" w:hAnsi="Arial" w:cs="Arial"/>
                <w:sz w:val="24"/>
                <w:szCs w:val="24"/>
              </w:rPr>
              <w:t xml:space="preserve">matics. </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lastRenderedPageBreak/>
              <w:t>The proportion of disadvantaged KS1 pupils that attained at least Level 2B was equal to or above the national figure for other pupils in reading, writing &amp; mathematics. (100%)</w:t>
            </w:r>
          </w:p>
          <w:p w:rsidR="004F56C5" w:rsidRPr="00BF201A" w:rsidRDefault="004F56C5" w:rsidP="004F56C5">
            <w:pPr>
              <w:pStyle w:val="ListParagraph"/>
              <w:numPr>
                <w:ilvl w:val="0"/>
                <w:numId w:val="1"/>
              </w:numPr>
              <w:rPr>
                <w:rFonts w:ascii="Arial" w:hAnsi="Arial" w:cs="Arial"/>
                <w:sz w:val="24"/>
                <w:szCs w:val="24"/>
              </w:rPr>
            </w:pPr>
            <w:r w:rsidRPr="00BF201A">
              <w:rPr>
                <w:rFonts w:ascii="Arial" w:hAnsi="Arial" w:cs="Arial"/>
                <w:sz w:val="24"/>
                <w:szCs w:val="24"/>
              </w:rPr>
              <w:t>The proportion of disadvantaged KS1 pupils that attained at least Level 3 was equal to or above the national figure for other pupils in reading, writing &amp; mathematics. (100%).</w:t>
            </w:r>
          </w:p>
          <w:p w:rsidR="004F56C5" w:rsidRPr="00DC0DBE" w:rsidRDefault="004F56C5" w:rsidP="00741B2F">
            <w:pPr>
              <w:jc w:val="right"/>
              <w:rPr>
                <w:rFonts w:ascii="Arial" w:hAnsi="Arial" w:cs="Arial"/>
                <w:sz w:val="24"/>
                <w:szCs w:val="24"/>
              </w:rPr>
            </w:pPr>
          </w:p>
        </w:tc>
      </w:tr>
      <w:tr w:rsidR="004F56C5" w:rsidTr="004F56C5">
        <w:tc>
          <w:tcPr>
            <w:tcW w:w="2376" w:type="dxa"/>
          </w:tcPr>
          <w:p w:rsidR="004F56C5" w:rsidRPr="00DC0DBE" w:rsidRDefault="004F56C5" w:rsidP="00741B2F">
            <w:pPr>
              <w:rPr>
                <w:rFonts w:ascii="Arial" w:hAnsi="Arial" w:cs="Arial"/>
                <w:sz w:val="24"/>
                <w:szCs w:val="24"/>
              </w:rPr>
            </w:pPr>
            <w:r>
              <w:rPr>
                <w:rFonts w:ascii="Arial" w:hAnsi="Arial" w:cs="Arial"/>
                <w:sz w:val="24"/>
                <w:szCs w:val="24"/>
              </w:rPr>
              <w:t xml:space="preserve">To extend music tuition to children in receipt of pupil premium through the purchase of lessons and instruments </w:t>
            </w:r>
          </w:p>
        </w:tc>
        <w:tc>
          <w:tcPr>
            <w:tcW w:w="6371" w:type="dxa"/>
          </w:tcPr>
          <w:p w:rsidR="004F56C5" w:rsidRPr="00DC0DBE" w:rsidRDefault="004F56C5" w:rsidP="00662C27">
            <w:pPr>
              <w:rPr>
                <w:rFonts w:ascii="Arial" w:hAnsi="Arial" w:cs="Arial"/>
                <w:sz w:val="24"/>
                <w:szCs w:val="24"/>
              </w:rPr>
            </w:pPr>
            <w:r>
              <w:rPr>
                <w:rFonts w:ascii="Arial" w:hAnsi="Arial" w:cs="Arial"/>
                <w:sz w:val="24"/>
                <w:szCs w:val="24"/>
              </w:rPr>
              <w:t xml:space="preserve">Disadvantaged pupils who may not otherwise be able to partake in music tuition will benefit from learning to play and instrument.  This will also develop skills in independence through practice, maintenance or the instrument and timetabling around lessons.  Learning to read music has been shown to enhance children’s ability in the core subject areas. </w:t>
            </w:r>
          </w:p>
        </w:tc>
        <w:tc>
          <w:tcPr>
            <w:tcW w:w="1284" w:type="dxa"/>
          </w:tcPr>
          <w:p w:rsidR="004F56C5" w:rsidRPr="00BA732E" w:rsidRDefault="004F56C5" w:rsidP="00662C27">
            <w:pPr>
              <w:jc w:val="right"/>
              <w:rPr>
                <w:rFonts w:ascii="Arial" w:hAnsi="Arial" w:cs="Arial"/>
                <w:b/>
                <w:sz w:val="24"/>
                <w:szCs w:val="24"/>
              </w:rPr>
            </w:pPr>
            <w:r w:rsidRPr="00BA732E">
              <w:rPr>
                <w:rFonts w:ascii="Arial" w:hAnsi="Arial" w:cs="Arial"/>
                <w:b/>
                <w:sz w:val="24"/>
                <w:szCs w:val="24"/>
              </w:rPr>
              <w:t>£43</w:t>
            </w:r>
            <w:r>
              <w:rPr>
                <w:rFonts w:ascii="Arial" w:hAnsi="Arial" w:cs="Arial"/>
                <w:b/>
                <w:sz w:val="24"/>
                <w:szCs w:val="24"/>
              </w:rPr>
              <w:t>8.00</w:t>
            </w:r>
          </w:p>
        </w:tc>
        <w:tc>
          <w:tcPr>
            <w:tcW w:w="4706" w:type="dxa"/>
            <w:vMerge/>
          </w:tcPr>
          <w:p w:rsidR="004F56C5" w:rsidRPr="00BA732E" w:rsidRDefault="004F56C5" w:rsidP="00662C27">
            <w:pPr>
              <w:jc w:val="right"/>
              <w:rPr>
                <w:rFonts w:ascii="Arial" w:hAnsi="Arial" w:cs="Arial"/>
                <w:b/>
                <w:sz w:val="24"/>
                <w:szCs w:val="24"/>
              </w:rPr>
            </w:pPr>
          </w:p>
        </w:tc>
      </w:tr>
      <w:tr w:rsidR="004F56C5" w:rsidTr="004F56C5">
        <w:tc>
          <w:tcPr>
            <w:tcW w:w="2376" w:type="dxa"/>
          </w:tcPr>
          <w:p w:rsidR="004F56C5" w:rsidRPr="00DC0DBE" w:rsidRDefault="004F56C5" w:rsidP="003E7ACD">
            <w:pPr>
              <w:rPr>
                <w:rFonts w:ascii="Arial" w:hAnsi="Arial" w:cs="Arial"/>
                <w:sz w:val="24"/>
                <w:szCs w:val="24"/>
              </w:rPr>
            </w:pPr>
            <w:r w:rsidRPr="003E7ACD">
              <w:rPr>
                <w:rFonts w:ascii="Arial" w:hAnsi="Arial" w:cs="Arial"/>
                <w:sz w:val="24"/>
                <w:szCs w:val="24"/>
              </w:rPr>
              <w:t>100% of Pupil Premium pupils to attend residential visits.</w:t>
            </w:r>
          </w:p>
        </w:tc>
        <w:tc>
          <w:tcPr>
            <w:tcW w:w="6371" w:type="dxa"/>
          </w:tcPr>
          <w:p w:rsidR="004F56C5" w:rsidRPr="00DC0DBE" w:rsidRDefault="004F56C5" w:rsidP="00BD0486">
            <w:pPr>
              <w:rPr>
                <w:rFonts w:ascii="Arial" w:hAnsi="Arial" w:cs="Arial"/>
                <w:sz w:val="24"/>
                <w:szCs w:val="24"/>
              </w:rPr>
            </w:pPr>
            <w:r w:rsidRPr="003E7ACD">
              <w:rPr>
                <w:rFonts w:ascii="Arial" w:hAnsi="Arial" w:cs="Arial"/>
                <w:sz w:val="24"/>
                <w:szCs w:val="24"/>
              </w:rPr>
              <w:t xml:space="preserve">Enable all pupils to access residential visit for team building </w:t>
            </w:r>
            <w:r>
              <w:rPr>
                <w:rFonts w:ascii="Arial" w:hAnsi="Arial" w:cs="Arial"/>
                <w:sz w:val="24"/>
                <w:szCs w:val="24"/>
              </w:rPr>
              <w:t xml:space="preserve">and development of independence skills as well as enrichment of the curriculum </w:t>
            </w:r>
          </w:p>
        </w:tc>
        <w:tc>
          <w:tcPr>
            <w:tcW w:w="1284" w:type="dxa"/>
          </w:tcPr>
          <w:p w:rsidR="004F56C5" w:rsidRPr="00C11D27" w:rsidRDefault="004F56C5" w:rsidP="00741B2F">
            <w:pPr>
              <w:jc w:val="right"/>
              <w:rPr>
                <w:rFonts w:ascii="Arial" w:hAnsi="Arial" w:cs="Arial"/>
                <w:b/>
                <w:sz w:val="24"/>
                <w:szCs w:val="24"/>
              </w:rPr>
            </w:pPr>
            <w:r w:rsidRPr="00C11D27">
              <w:rPr>
                <w:rFonts w:ascii="Arial" w:hAnsi="Arial" w:cs="Arial"/>
                <w:b/>
                <w:sz w:val="24"/>
                <w:szCs w:val="24"/>
              </w:rPr>
              <w:t>£750.00</w:t>
            </w:r>
          </w:p>
        </w:tc>
        <w:tc>
          <w:tcPr>
            <w:tcW w:w="4706" w:type="dxa"/>
            <w:vMerge/>
          </w:tcPr>
          <w:p w:rsidR="004F56C5" w:rsidRPr="00C11D27" w:rsidRDefault="004F56C5" w:rsidP="00741B2F">
            <w:pPr>
              <w:jc w:val="right"/>
              <w:rPr>
                <w:rFonts w:ascii="Arial" w:hAnsi="Arial" w:cs="Arial"/>
                <w:b/>
                <w:sz w:val="24"/>
                <w:szCs w:val="24"/>
              </w:rPr>
            </w:pPr>
          </w:p>
        </w:tc>
      </w:tr>
      <w:tr w:rsidR="004F56C5" w:rsidTr="004F56C5">
        <w:tc>
          <w:tcPr>
            <w:tcW w:w="2376" w:type="dxa"/>
          </w:tcPr>
          <w:p w:rsidR="004F56C5" w:rsidRPr="003E7ACD" w:rsidRDefault="004F56C5" w:rsidP="00C11D27">
            <w:pPr>
              <w:rPr>
                <w:rFonts w:ascii="Arial" w:hAnsi="Arial" w:cs="Arial"/>
                <w:sz w:val="24"/>
                <w:szCs w:val="24"/>
              </w:rPr>
            </w:pPr>
            <w:r>
              <w:rPr>
                <w:rFonts w:ascii="Arial" w:hAnsi="Arial" w:cs="Arial"/>
                <w:sz w:val="24"/>
                <w:szCs w:val="24"/>
              </w:rPr>
              <w:t>Nurture Dogs sessions</w:t>
            </w:r>
          </w:p>
        </w:tc>
        <w:tc>
          <w:tcPr>
            <w:tcW w:w="6371" w:type="dxa"/>
          </w:tcPr>
          <w:p w:rsidR="004F56C5" w:rsidRPr="003E7ACD" w:rsidRDefault="004F56C5" w:rsidP="00C11D27">
            <w:pPr>
              <w:rPr>
                <w:rFonts w:ascii="Arial" w:hAnsi="Arial" w:cs="Arial"/>
                <w:sz w:val="24"/>
                <w:szCs w:val="24"/>
              </w:rPr>
            </w:pPr>
            <w:r>
              <w:rPr>
                <w:rFonts w:ascii="Arial" w:hAnsi="Arial" w:cs="Arial"/>
                <w:sz w:val="24"/>
                <w:szCs w:val="24"/>
              </w:rPr>
              <w:t>Occupational therapy based activities with dogs to</w:t>
            </w:r>
            <w:r w:rsidRPr="00BA732E">
              <w:rPr>
                <w:rFonts w:ascii="Arial" w:hAnsi="Arial" w:cs="Arial"/>
                <w:sz w:val="24"/>
                <w:szCs w:val="24"/>
              </w:rPr>
              <w:t xml:space="preserve"> build confidence   and </w:t>
            </w:r>
            <w:r>
              <w:rPr>
                <w:rFonts w:ascii="Arial" w:hAnsi="Arial" w:cs="Arial"/>
                <w:sz w:val="24"/>
                <w:szCs w:val="24"/>
              </w:rPr>
              <w:t xml:space="preserve">raise </w:t>
            </w:r>
            <w:r w:rsidRPr="00BA732E">
              <w:rPr>
                <w:rFonts w:ascii="Arial" w:hAnsi="Arial" w:cs="Arial"/>
                <w:sz w:val="24"/>
                <w:szCs w:val="24"/>
              </w:rPr>
              <w:t>self-esteem.</w:t>
            </w:r>
          </w:p>
        </w:tc>
        <w:tc>
          <w:tcPr>
            <w:tcW w:w="1284" w:type="dxa"/>
          </w:tcPr>
          <w:p w:rsidR="004F56C5" w:rsidRPr="00DC0DBE" w:rsidRDefault="004F56C5" w:rsidP="00C11D27">
            <w:pPr>
              <w:jc w:val="right"/>
              <w:rPr>
                <w:rFonts w:ascii="Arial" w:hAnsi="Arial" w:cs="Arial"/>
                <w:sz w:val="24"/>
                <w:szCs w:val="24"/>
              </w:rPr>
            </w:pPr>
            <w:r w:rsidRPr="00BA732E">
              <w:rPr>
                <w:rFonts w:ascii="Arial" w:hAnsi="Arial" w:cs="Arial"/>
                <w:b/>
                <w:sz w:val="24"/>
                <w:szCs w:val="24"/>
              </w:rPr>
              <w:t>£1800</w:t>
            </w:r>
            <w:r>
              <w:rPr>
                <w:rFonts w:ascii="Arial" w:hAnsi="Arial" w:cs="Arial"/>
                <w:b/>
                <w:sz w:val="24"/>
                <w:szCs w:val="24"/>
              </w:rPr>
              <w:t>.00</w:t>
            </w:r>
          </w:p>
        </w:tc>
        <w:tc>
          <w:tcPr>
            <w:tcW w:w="4706" w:type="dxa"/>
            <w:vMerge/>
          </w:tcPr>
          <w:p w:rsidR="004F56C5" w:rsidRPr="00BA732E" w:rsidRDefault="004F56C5" w:rsidP="00C11D27">
            <w:pPr>
              <w:jc w:val="right"/>
              <w:rPr>
                <w:rFonts w:ascii="Arial" w:hAnsi="Arial" w:cs="Arial"/>
                <w:b/>
                <w:sz w:val="24"/>
                <w:szCs w:val="24"/>
              </w:rPr>
            </w:pPr>
          </w:p>
        </w:tc>
      </w:tr>
      <w:tr w:rsidR="004F56C5" w:rsidTr="004F56C5">
        <w:trPr>
          <w:trHeight w:val="1104"/>
        </w:trPr>
        <w:tc>
          <w:tcPr>
            <w:tcW w:w="2376" w:type="dxa"/>
          </w:tcPr>
          <w:p w:rsidR="004F56C5" w:rsidRPr="003E7ACD" w:rsidRDefault="004F56C5" w:rsidP="00C11D27">
            <w:pPr>
              <w:rPr>
                <w:rFonts w:ascii="Arial" w:hAnsi="Arial" w:cs="Arial"/>
                <w:sz w:val="24"/>
                <w:szCs w:val="24"/>
              </w:rPr>
            </w:pPr>
            <w:r w:rsidRPr="003E7ACD">
              <w:rPr>
                <w:rFonts w:ascii="Arial" w:hAnsi="Arial" w:cs="Arial"/>
                <w:sz w:val="24"/>
                <w:szCs w:val="24"/>
              </w:rPr>
              <w:t xml:space="preserve">Employment of </w:t>
            </w:r>
          </w:p>
          <w:p w:rsidR="004F56C5" w:rsidRPr="003E7ACD" w:rsidRDefault="004F56C5" w:rsidP="00C11D27">
            <w:pPr>
              <w:rPr>
                <w:rFonts w:ascii="Arial" w:hAnsi="Arial" w:cs="Arial"/>
                <w:sz w:val="24"/>
                <w:szCs w:val="24"/>
              </w:rPr>
            </w:pPr>
            <w:r w:rsidRPr="003E7ACD">
              <w:rPr>
                <w:rFonts w:ascii="Arial" w:hAnsi="Arial" w:cs="Arial"/>
                <w:sz w:val="24"/>
                <w:szCs w:val="24"/>
              </w:rPr>
              <w:t xml:space="preserve">additional TA </w:t>
            </w:r>
          </w:p>
          <w:p w:rsidR="004F56C5" w:rsidRPr="003E7ACD" w:rsidRDefault="004F56C5" w:rsidP="00C11D27">
            <w:pPr>
              <w:rPr>
                <w:rFonts w:ascii="Arial" w:hAnsi="Arial" w:cs="Arial"/>
                <w:sz w:val="24"/>
                <w:szCs w:val="24"/>
              </w:rPr>
            </w:pPr>
            <w:r w:rsidRPr="003E7ACD">
              <w:rPr>
                <w:rFonts w:ascii="Arial" w:hAnsi="Arial" w:cs="Arial"/>
                <w:sz w:val="24"/>
                <w:szCs w:val="24"/>
              </w:rPr>
              <w:t xml:space="preserve">intervention support </w:t>
            </w:r>
          </w:p>
          <w:p w:rsidR="004F56C5" w:rsidRPr="00DC0DBE" w:rsidRDefault="004F56C5" w:rsidP="00C11D27">
            <w:pPr>
              <w:rPr>
                <w:rFonts w:ascii="Arial" w:hAnsi="Arial" w:cs="Arial"/>
                <w:sz w:val="24"/>
                <w:szCs w:val="24"/>
              </w:rPr>
            </w:pPr>
            <w:r w:rsidRPr="003E7ACD">
              <w:rPr>
                <w:rFonts w:ascii="Arial" w:hAnsi="Arial" w:cs="Arial"/>
                <w:sz w:val="24"/>
                <w:szCs w:val="24"/>
              </w:rPr>
              <w:t xml:space="preserve">in KS2 </w:t>
            </w:r>
          </w:p>
        </w:tc>
        <w:tc>
          <w:tcPr>
            <w:tcW w:w="6371" w:type="dxa"/>
          </w:tcPr>
          <w:p w:rsidR="004F56C5" w:rsidRPr="003E7ACD" w:rsidRDefault="004F56C5" w:rsidP="00C11D27">
            <w:pPr>
              <w:rPr>
                <w:rFonts w:ascii="Arial" w:hAnsi="Arial" w:cs="Arial"/>
                <w:sz w:val="24"/>
                <w:szCs w:val="24"/>
              </w:rPr>
            </w:pPr>
            <w:r w:rsidRPr="003E7ACD">
              <w:rPr>
                <w:rFonts w:ascii="Arial" w:hAnsi="Arial" w:cs="Arial"/>
                <w:sz w:val="24"/>
                <w:szCs w:val="24"/>
              </w:rPr>
              <w:t xml:space="preserve">To increase rate of progress </w:t>
            </w:r>
          </w:p>
          <w:p w:rsidR="004F56C5" w:rsidRPr="00DC0DBE" w:rsidRDefault="004F56C5" w:rsidP="00C11D27">
            <w:pPr>
              <w:rPr>
                <w:rFonts w:ascii="Arial" w:hAnsi="Arial" w:cs="Arial"/>
                <w:sz w:val="24"/>
                <w:szCs w:val="24"/>
              </w:rPr>
            </w:pPr>
            <w:r w:rsidRPr="003E7ACD">
              <w:rPr>
                <w:rFonts w:ascii="Arial" w:hAnsi="Arial" w:cs="Arial"/>
                <w:sz w:val="24"/>
                <w:szCs w:val="24"/>
              </w:rPr>
              <w:t xml:space="preserve">of pupil premium pupils in KS2 </w:t>
            </w:r>
          </w:p>
        </w:tc>
        <w:tc>
          <w:tcPr>
            <w:tcW w:w="1284" w:type="dxa"/>
          </w:tcPr>
          <w:p w:rsidR="004F56C5" w:rsidRPr="008C1A9A" w:rsidRDefault="004F56C5" w:rsidP="00C11D27">
            <w:pPr>
              <w:jc w:val="right"/>
              <w:rPr>
                <w:rFonts w:ascii="Arial" w:hAnsi="Arial" w:cs="Arial"/>
                <w:b/>
                <w:sz w:val="24"/>
                <w:szCs w:val="24"/>
              </w:rPr>
            </w:pPr>
            <w:r w:rsidRPr="008C1A9A">
              <w:rPr>
                <w:rFonts w:ascii="Arial" w:hAnsi="Arial" w:cs="Arial"/>
                <w:b/>
                <w:sz w:val="24"/>
                <w:szCs w:val="24"/>
              </w:rPr>
              <w:t>£585.00</w:t>
            </w:r>
          </w:p>
        </w:tc>
        <w:tc>
          <w:tcPr>
            <w:tcW w:w="4706" w:type="dxa"/>
            <w:vMerge/>
          </w:tcPr>
          <w:p w:rsidR="004F56C5" w:rsidRPr="008C1A9A" w:rsidRDefault="004F56C5" w:rsidP="00C11D27">
            <w:pPr>
              <w:jc w:val="right"/>
              <w:rPr>
                <w:rFonts w:ascii="Arial" w:hAnsi="Arial" w:cs="Arial"/>
                <w:b/>
                <w:sz w:val="24"/>
                <w:szCs w:val="24"/>
              </w:rPr>
            </w:pPr>
          </w:p>
        </w:tc>
      </w:tr>
      <w:tr w:rsidR="004F56C5" w:rsidTr="004F56C5">
        <w:tc>
          <w:tcPr>
            <w:tcW w:w="2376" w:type="dxa"/>
          </w:tcPr>
          <w:p w:rsidR="004F56C5" w:rsidRPr="003E7ACD" w:rsidRDefault="004F56C5" w:rsidP="00C11D27">
            <w:pPr>
              <w:rPr>
                <w:rFonts w:ascii="Arial" w:hAnsi="Arial" w:cs="Arial"/>
                <w:sz w:val="24"/>
                <w:szCs w:val="24"/>
              </w:rPr>
            </w:pPr>
            <w:r>
              <w:rPr>
                <w:rFonts w:ascii="Arial" w:hAnsi="Arial" w:cs="Arial"/>
                <w:sz w:val="24"/>
                <w:szCs w:val="24"/>
              </w:rPr>
              <w:t xml:space="preserve">Additional teaching hours secured for </w:t>
            </w:r>
            <w:r>
              <w:rPr>
                <w:rFonts w:ascii="Arial" w:hAnsi="Arial" w:cs="Arial"/>
                <w:sz w:val="24"/>
                <w:szCs w:val="24"/>
              </w:rPr>
              <w:lastRenderedPageBreak/>
              <w:t xml:space="preserve">group and individual tuition </w:t>
            </w:r>
          </w:p>
        </w:tc>
        <w:tc>
          <w:tcPr>
            <w:tcW w:w="6371" w:type="dxa"/>
          </w:tcPr>
          <w:p w:rsidR="004F56C5" w:rsidRPr="003E7ACD" w:rsidRDefault="004F56C5" w:rsidP="00C11D27">
            <w:pPr>
              <w:rPr>
                <w:rFonts w:ascii="Arial" w:hAnsi="Arial" w:cs="Arial"/>
                <w:sz w:val="24"/>
                <w:szCs w:val="24"/>
              </w:rPr>
            </w:pPr>
            <w:r w:rsidRPr="003E7ACD">
              <w:rPr>
                <w:rFonts w:ascii="Arial" w:hAnsi="Arial" w:cs="Arial"/>
                <w:sz w:val="24"/>
                <w:szCs w:val="24"/>
              </w:rPr>
              <w:lastRenderedPageBreak/>
              <w:t xml:space="preserve">To increase rate of progress </w:t>
            </w:r>
          </w:p>
          <w:p w:rsidR="004F56C5" w:rsidRPr="003E7ACD" w:rsidRDefault="004F56C5" w:rsidP="00C11D27">
            <w:pPr>
              <w:rPr>
                <w:rFonts w:ascii="Arial" w:hAnsi="Arial" w:cs="Arial"/>
                <w:sz w:val="24"/>
                <w:szCs w:val="24"/>
              </w:rPr>
            </w:pPr>
            <w:r w:rsidRPr="003E7ACD">
              <w:rPr>
                <w:rFonts w:ascii="Arial" w:hAnsi="Arial" w:cs="Arial"/>
                <w:sz w:val="24"/>
                <w:szCs w:val="24"/>
              </w:rPr>
              <w:t>of pupil premium pupils in KS</w:t>
            </w:r>
            <w:r>
              <w:rPr>
                <w:rFonts w:ascii="Arial" w:hAnsi="Arial" w:cs="Arial"/>
                <w:sz w:val="24"/>
                <w:szCs w:val="24"/>
              </w:rPr>
              <w:t xml:space="preserve">1 &amp; </w:t>
            </w:r>
            <w:r w:rsidRPr="003E7ACD">
              <w:rPr>
                <w:rFonts w:ascii="Arial" w:hAnsi="Arial" w:cs="Arial"/>
                <w:sz w:val="24"/>
                <w:szCs w:val="24"/>
              </w:rPr>
              <w:t>2</w:t>
            </w:r>
          </w:p>
        </w:tc>
        <w:tc>
          <w:tcPr>
            <w:tcW w:w="1284" w:type="dxa"/>
          </w:tcPr>
          <w:p w:rsidR="004F56C5" w:rsidRPr="008C1A9A" w:rsidRDefault="004F56C5" w:rsidP="00C11D27">
            <w:pPr>
              <w:jc w:val="right"/>
              <w:rPr>
                <w:rFonts w:ascii="Arial" w:hAnsi="Arial" w:cs="Arial"/>
                <w:b/>
                <w:sz w:val="24"/>
                <w:szCs w:val="24"/>
              </w:rPr>
            </w:pPr>
            <w:r w:rsidRPr="008C1A9A">
              <w:rPr>
                <w:rFonts w:ascii="Arial" w:hAnsi="Arial" w:cs="Arial"/>
                <w:b/>
                <w:sz w:val="24"/>
                <w:szCs w:val="24"/>
              </w:rPr>
              <w:t>£900.00</w:t>
            </w:r>
          </w:p>
        </w:tc>
        <w:tc>
          <w:tcPr>
            <w:tcW w:w="4706" w:type="dxa"/>
            <w:vMerge/>
          </w:tcPr>
          <w:p w:rsidR="004F56C5" w:rsidRPr="008C1A9A" w:rsidRDefault="004F56C5" w:rsidP="00C11D27">
            <w:pPr>
              <w:jc w:val="right"/>
              <w:rPr>
                <w:rFonts w:ascii="Arial" w:hAnsi="Arial" w:cs="Arial"/>
                <w:b/>
                <w:sz w:val="24"/>
                <w:szCs w:val="24"/>
              </w:rPr>
            </w:pPr>
          </w:p>
        </w:tc>
      </w:tr>
      <w:tr w:rsidR="004F56C5" w:rsidTr="004F56C5">
        <w:tc>
          <w:tcPr>
            <w:tcW w:w="2376" w:type="dxa"/>
          </w:tcPr>
          <w:p w:rsidR="004F56C5" w:rsidRPr="003E7ACD" w:rsidRDefault="004F56C5" w:rsidP="00C11D27">
            <w:pPr>
              <w:rPr>
                <w:rFonts w:ascii="Arial" w:hAnsi="Arial" w:cs="Arial"/>
                <w:sz w:val="24"/>
                <w:szCs w:val="24"/>
              </w:rPr>
            </w:pPr>
            <w:r>
              <w:rPr>
                <w:rFonts w:ascii="Arial" w:hAnsi="Arial" w:cs="Arial"/>
                <w:sz w:val="24"/>
                <w:szCs w:val="24"/>
              </w:rPr>
              <w:lastRenderedPageBreak/>
              <w:t>Multi set of Glide Bikes</w:t>
            </w:r>
          </w:p>
        </w:tc>
        <w:tc>
          <w:tcPr>
            <w:tcW w:w="6371" w:type="dxa"/>
          </w:tcPr>
          <w:p w:rsidR="004F56C5" w:rsidRPr="003E7ACD" w:rsidRDefault="004F56C5" w:rsidP="00C11D27">
            <w:pPr>
              <w:rPr>
                <w:rFonts w:ascii="Arial" w:hAnsi="Arial" w:cs="Arial"/>
                <w:sz w:val="24"/>
                <w:szCs w:val="24"/>
              </w:rPr>
            </w:pPr>
            <w:r>
              <w:rPr>
                <w:rFonts w:ascii="Arial" w:hAnsi="Arial" w:cs="Arial"/>
                <w:sz w:val="24"/>
                <w:szCs w:val="24"/>
              </w:rPr>
              <w:t xml:space="preserve">Recommended by the OT to develop core strength and develop gross motor skills </w:t>
            </w:r>
          </w:p>
        </w:tc>
        <w:tc>
          <w:tcPr>
            <w:tcW w:w="1284" w:type="dxa"/>
          </w:tcPr>
          <w:p w:rsidR="004F56C5" w:rsidRPr="00662C27" w:rsidRDefault="004F56C5" w:rsidP="00C11D27">
            <w:pPr>
              <w:jc w:val="right"/>
              <w:rPr>
                <w:rFonts w:ascii="Arial" w:hAnsi="Arial" w:cs="Arial"/>
                <w:b/>
                <w:sz w:val="24"/>
                <w:szCs w:val="24"/>
              </w:rPr>
            </w:pPr>
            <w:r w:rsidRPr="00662C27">
              <w:rPr>
                <w:rFonts w:ascii="Arial" w:hAnsi="Arial" w:cs="Arial"/>
                <w:b/>
                <w:sz w:val="24"/>
                <w:szCs w:val="24"/>
              </w:rPr>
              <w:t xml:space="preserve">714.00 </w:t>
            </w:r>
          </w:p>
        </w:tc>
        <w:tc>
          <w:tcPr>
            <w:tcW w:w="4706" w:type="dxa"/>
            <w:vMerge/>
          </w:tcPr>
          <w:p w:rsidR="004F56C5" w:rsidRPr="00662C27" w:rsidRDefault="004F56C5" w:rsidP="00C11D27">
            <w:pPr>
              <w:jc w:val="right"/>
              <w:rPr>
                <w:rFonts w:ascii="Arial" w:hAnsi="Arial" w:cs="Arial"/>
                <w:b/>
                <w:sz w:val="24"/>
                <w:szCs w:val="24"/>
              </w:rPr>
            </w:pPr>
          </w:p>
        </w:tc>
      </w:tr>
      <w:tr w:rsidR="004F56C5" w:rsidTr="004F56C5">
        <w:tc>
          <w:tcPr>
            <w:tcW w:w="2376" w:type="dxa"/>
          </w:tcPr>
          <w:p w:rsidR="004F56C5" w:rsidRDefault="004F56C5" w:rsidP="008C1A9A">
            <w:pPr>
              <w:rPr>
                <w:rFonts w:ascii="Arial" w:hAnsi="Arial" w:cs="Arial"/>
                <w:sz w:val="24"/>
                <w:szCs w:val="24"/>
              </w:rPr>
            </w:pPr>
            <w:r>
              <w:rPr>
                <w:rFonts w:ascii="Arial" w:hAnsi="Arial" w:cs="Arial"/>
                <w:sz w:val="24"/>
                <w:szCs w:val="24"/>
              </w:rPr>
              <w:t>Additional resources and equipment to support pupils in class</w:t>
            </w:r>
          </w:p>
        </w:tc>
        <w:tc>
          <w:tcPr>
            <w:tcW w:w="6371" w:type="dxa"/>
          </w:tcPr>
          <w:p w:rsidR="004F56C5" w:rsidRDefault="004F56C5" w:rsidP="008C1A9A">
            <w:pPr>
              <w:rPr>
                <w:rFonts w:ascii="Arial" w:hAnsi="Arial" w:cs="Arial"/>
                <w:sz w:val="24"/>
                <w:szCs w:val="24"/>
              </w:rPr>
            </w:pPr>
            <w:r>
              <w:rPr>
                <w:rFonts w:ascii="Arial" w:hAnsi="Arial" w:cs="Arial"/>
                <w:sz w:val="24"/>
                <w:szCs w:val="24"/>
              </w:rPr>
              <w:t xml:space="preserve">Educational resources such as Toe by Toe and additional resources which develop fine motor skills, support physical/proprioception development and meet individual needs of pupils </w:t>
            </w:r>
          </w:p>
        </w:tc>
        <w:tc>
          <w:tcPr>
            <w:tcW w:w="1284" w:type="dxa"/>
          </w:tcPr>
          <w:p w:rsidR="004F56C5" w:rsidRPr="00DC0DBE" w:rsidRDefault="004F56C5" w:rsidP="00C11D27">
            <w:pPr>
              <w:jc w:val="right"/>
              <w:rPr>
                <w:rFonts w:ascii="Arial" w:hAnsi="Arial" w:cs="Arial"/>
                <w:sz w:val="24"/>
                <w:szCs w:val="24"/>
              </w:rPr>
            </w:pPr>
            <w:r w:rsidRPr="00662C27">
              <w:rPr>
                <w:rFonts w:ascii="Arial" w:hAnsi="Arial" w:cs="Arial"/>
                <w:b/>
                <w:sz w:val="24"/>
                <w:szCs w:val="24"/>
              </w:rPr>
              <w:t>283.00</w:t>
            </w:r>
          </w:p>
        </w:tc>
        <w:tc>
          <w:tcPr>
            <w:tcW w:w="4706" w:type="dxa"/>
            <w:vMerge/>
          </w:tcPr>
          <w:p w:rsidR="004F56C5" w:rsidRPr="00662C27" w:rsidRDefault="004F56C5" w:rsidP="00C11D27">
            <w:pPr>
              <w:jc w:val="right"/>
              <w:rPr>
                <w:rFonts w:ascii="Arial" w:hAnsi="Arial" w:cs="Arial"/>
                <w:b/>
                <w:sz w:val="24"/>
                <w:szCs w:val="24"/>
              </w:rPr>
            </w:pPr>
          </w:p>
        </w:tc>
      </w:tr>
      <w:tr w:rsidR="004F56C5" w:rsidTr="004F56C5">
        <w:trPr>
          <w:trHeight w:val="687"/>
        </w:trPr>
        <w:tc>
          <w:tcPr>
            <w:tcW w:w="2376" w:type="dxa"/>
          </w:tcPr>
          <w:p w:rsidR="004F56C5" w:rsidRDefault="004F56C5" w:rsidP="008C1A9A">
            <w:pPr>
              <w:rPr>
                <w:rFonts w:ascii="Arial" w:hAnsi="Arial" w:cs="Arial"/>
                <w:sz w:val="24"/>
                <w:szCs w:val="24"/>
              </w:rPr>
            </w:pPr>
            <w:r>
              <w:rPr>
                <w:rFonts w:ascii="Arial" w:hAnsi="Arial" w:cs="Arial"/>
                <w:sz w:val="24"/>
                <w:szCs w:val="24"/>
              </w:rPr>
              <w:t>Laptop computers</w:t>
            </w:r>
          </w:p>
          <w:p w:rsidR="004F56C5" w:rsidRDefault="004F56C5" w:rsidP="008C1A9A">
            <w:pPr>
              <w:rPr>
                <w:rFonts w:ascii="Arial" w:hAnsi="Arial" w:cs="Arial"/>
                <w:sz w:val="24"/>
                <w:szCs w:val="24"/>
              </w:rPr>
            </w:pPr>
          </w:p>
        </w:tc>
        <w:tc>
          <w:tcPr>
            <w:tcW w:w="6371" w:type="dxa"/>
          </w:tcPr>
          <w:p w:rsidR="004F56C5" w:rsidRDefault="004F56C5" w:rsidP="003A61BA">
            <w:pPr>
              <w:rPr>
                <w:rFonts w:ascii="Arial" w:hAnsi="Arial" w:cs="Arial"/>
                <w:sz w:val="24"/>
                <w:szCs w:val="24"/>
              </w:rPr>
            </w:pPr>
            <w:r>
              <w:rPr>
                <w:rFonts w:ascii="Arial" w:hAnsi="Arial" w:cs="Arial"/>
                <w:sz w:val="24"/>
                <w:szCs w:val="24"/>
              </w:rPr>
              <w:t xml:space="preserve">To further enrich the curriculum </w:t>
            </w:r>
            <w:r w:rsidRPr="003A61BA">
              <w:rPr>
                <w:rFonts w:ascii="Arial" w:hAnsi="Arial" w:cs="Arial"/>
                <w:sz w:val="24"/>
                <w:szCs w:val="24"/>
              </w:rPr>
              <w:t>giving Pupil Premium Students fullest possible access to the Schools Information Technology resources within School</w:t>
            </w:r>
          </w:p>
        </w:tc>
        <w:tc>
          <w:tcPr>
            <w:tcW w:w="1284" w:type="dxa"/>
          </w:tcPr>
          <w:p w:rsidR="004F56C5" w:rsidRPr="00662C27" w:rsidRDefault="004F56C5" w:rsidP="00C11D27">
            <w:pPr>
              <w:jc w:val="right"/>
              <w:rPr>
                <w:rFonts w:ascii="Arial" w:hAnsi="Arial" w:cs="Arial"/>
                <w:b/>
                <w:sz w:val="24"/>
                <w:szCs w:val="24"/>
              </w:rPr>
            </w:pPr>
            <w:r>
              <w:rPr>
                <w:rFonts w:ascii="Arial" w:hAnsi="Arial" w:cs="Arial"/>
                <w:b/>
                <w:sz w:val="24"/>
                <w:szCs w:val="24"/>
              </w:rPr>
              <w:t>6743.00</w:t>
            </w:r>
          </w:p>
        </w:tc>
        <w:tc>
          <w:tcPr>
            <w:tcW w:w="4706" w:type="dxa"/>
            <w:vMerge/>
          </w:tcPr>
          <w:p w:rsidR="004F56C5" w:rsidRDefault="004F56C5" w:rsidP="00C11D27">
            <w:pPr>
              <w:jc w:val="right"/>
              <w:rPr>
                <w:rFonts w:ascii="Arial" w:hAnsi="Arial" w:cs="Arial"/>
                <w:b/>
                <w:sz w:val="24"/>
                <w:szCs w:val="24"/>
              </w:rPr>
            </w:pPr>
          </w:p>
        </w:tc>
      </w:tr>
      <w:tr w:rsidR="004F56C5" w:rsidTr="004F56C5">
        <w:tc>
          <w:tcPr>
            <w:tcW w:w="2376" w:type="dxa"/>
          </w:tcPr>
          <w:p w:rsidR="004F56C5" w:rsidRDefault="004F56C5" w:rsidP="008C1A9A">
            <w:pPr>
              <w:rPr>
                <w:rFonts w:ascii="Arial" w:hAnsi="Arial" w:cs="Arial"/>
                <w:sz w:val="24"/>
                <w:szCs w:val="24"/>
              </w:rPr>
            </w:pPr>
          </w:p>
        </w:tc>
        <w:tc>
          <w:tcPr>
            <w:tcW w:w="6371" w:type="dxa"/>
          </w:tcPr>
          <w:p w:rsidR="004F56C5" w:rsidRDefault="004F56C5" w:rsidP="008C1A9A">
            <w:pPr>
              <w:rPr>
                <w:rFonts w:ascii="Arial" w:hAnsi="Arial" w:cs="Arial"/>
                <w:sz w:val="24"/>
                <w:szCs w:val="24"/>
              </w:rPr>
            </w:pPr>
          </w:p>
        </w:tc>
        <w:tc>
          <w:tcPr>
            <w:tcW w:w="1284" w:type="dxa"/>
          </w:tcPr>
          <w:p w:rsidR="004F56C5" w:rsidRPr="00DC0DBE" w:rsidRDefault="004F56C5" w:rsidP="00C11D27">
            <w:pPr>
              <w:jc w:val="right"/>
              <w:rPr>
                <w:rFonts w:ascii="Arial" w:hAnsi="Arial" w:cs="Arial"/>
                <w:sz w:val="24"/>
                <w:szCs w:val="24"/>
              </w:rPr>
            </w:pPr>
          </w:p>
        </w:tc>
        <w:tc>
          <w:tcPr>
            <w:tcW w:w="4706" w:type="dxa"/>
            <w:vMerge/>
          </w:tcPr>
          <w:p w:rsidR="004F56C5" w:rsidRPr="00DC0DBE" w:rsidRDefault="004F56C5" w:rsidP="00C11D27">
            <w:pPr>
              <w:jc w:val="right"/>
              <w:rPr>
                <w:rFonts w:ascii="Arial" w:hAnsi="Arial" w:cs="Arial"/>
                <w:sz w:val="24"/>
                <w:szCs w:val="24"/>
              </w:rPr>
            </w:pPr>
          </w:p>
        </w:tc>
      </w:tr>
      <w:tr w:rsidR="004F56C5" w:rsidRPr="003A61BA" w:rsidTr="004F56C5">
        <w:tc>
          <w:tcPr>
            <w:tcW w:w="8747" w:type="dxa"/>
            <w:gridSpan w:val="2"/>
          </w:tcPr>
          <w:p w:rsidR="004F56C5" w:rsidRPr="00DC0DBE" w:rsidRDefault="004F56C5" w:rsidP="00C11D27">
            <w:pPr>
              <w:jc w:val="right"/>
              <w:rPr>
                <w:rFonts w:ascii="Arial" w:hAnsi="Arial" w:cs="Arial"/>
                <w:sz w:val="24"/>
                <w:szCs w:val="24"/>
              </w:rPr>
            </w:pPr>
            <w:r w:rsidRPr="00DC0DBE">
              <w:rPr>
                <w:rFonts w:ascii="Arial" w:hAnsi="Arial" w:cs="Arial"/>
                <w:sz w:val="24"/>
                <w:szCs w:val="24"/>
              </w:rPr>
              <w:t>Total Spend</w:t>
            </w:r>
          </w:p>
        </w:tc>
        <w:tc>
          <w:tcPr>
            <w:tcW w:w="1284" w:type="dxa"/>
          </w:tcPr>
          <w:p w:rsidR="004F56C5" w:rsidRPr="003A61BA" w:rsidRDefault="004F56C5" w:rsidP="00C11D27">
            <w:pPr>
              <w:jc w:val="right"/>
              <w:rPr>
                <w:rFonts w:ascii="Arial" w:hAnsi="Arial" w:cs="Arial"/>
                <w:sz w:val="24"/>
                <w:szCs w:val="24"/>
              </w:rPr>
            </w:pPr>
            <w:r w:rsidRPr="003A61BA">
              <w:rPr>
                <w:rFonts w:ascii="Arial" w:hAnsi="Arial" w:cs="Arial"/>
                <w:sz w:val="24"/>
                <w:szCs w:val="24"/>
              </w:rPr>
              <w:t>12,263.00</w:t>
            </w:r>
          </w:p>
        </w:tc>
        <w:tc>
          <w:tcPr>
            <w:tcW w:w="4706" w:type="dxa"/>
            <w:vMerge/>
          </w:tcPr>
          <w:p w:rsidR="004F56C5" w:rsidRPr="003A61BA" w:rsidRDefault="004F56C5" w:rsidP="00C11D27">
            <w:pPr>
              <w:jc w:val="right"/>
              <w:rPr>
                <w:rFonts w:ascii="Arial" w:hAnsi="Arial" w:cs="Arial"/>
                <w:sz w:val="24"/>
                <w:szCs w:val="24"/>
              </w:rPr>
            </w:pPr>
          </w:p>
        </w:tc>
      </w:tr>
      <w:tr w:rsidR="004F56C5" w:rsidTr="004F56C5">
        <w:tc>
          <w:tcPr>
            <w:tcW w:w="8747" w:type="dxa"/>
            <w:gridSpan w:val="2"/>
          </w:tcPr>
          <w:p w:rsidR="004F56C5" w:rsidRPr="00DC0DBE" w:rsidRDefault="004F56C5" w:rsidP="00C11D27">
            <w:pPr>
              <w:jc w:val="right"/>
              <w:rPr>
                <w:rFonts w:ascii="Arial" w:hAnsi="Arial" w:cs="Arial"/>
                <w:sz w:val="24"/>
                <w:szCs w:val="24"/>
              </w:rPr>
            </w:pPr>
            <w:r w:rsidRPr="00DC0DBE">
              <w:rPr>
                <w:rFonts w:ascii="Arial" w:hAnsi="Arial" w:cs="Arial"/>
                <w:sz w:val="24"/>
                <w:szCs w:val="24"/>
              </w:rPr>
              <w:t>Balance</w:t>
            </w:r>
          </w:p>
        </w:tc>
        <w:tc>
          <w:tcPr>
            <w:tcW w:w="1284" w:type="dxa"/>
          </w:tcPr>
          <w:p w:rsidR="004F56C5" w:rsidRPr="00DC0DBE" w:rsidRDefault="004F56C5" w:rsidP="00C11D27">
            <w:pPr>
              <w:jc w:val="right"/>
              <w:rPr>
                <w:rFonts w:ascii="Arial" w:hAnsi="Arial" w:cs="Arial"/>
                <w:sz w:val="24"/>
                <w:szCs w:val="24"/>
              </w:rPr>
            </w:pPr>
            <w:r w:rsidRPr="003A61BA">
              <w:rPr>
                <w:rFonts w:ascii="Arial" w:hAnsi="Arial" w:cs="Arial"/>
                <w:color w:val="FF0000"/>
                <w:sz w:val="24"/>
                <w:szCs w:val="24"/>
              </w:rPr>
              <w:t>-653.00</w:t>
            </w:r>
          </w:p>
        </w:tc>
        <w:tc>
          <w:tcPr>
            <w:tcW w:w="4706" w:type="dxa"/>
            <w:vMerge/>
          </w:tcPr>
          <w:p w:rsidR="004F56C5" w:rsidRPr="003A61BA" w:rsidRDefault="004F56C5" w:rsidP="00C11D27">
            <w:pPr>
              <w:jc w:val="right"/>
              <w:rPr>
                <w:rFonts w:ascii="Arial" w:hAnsi="Arial" w:cs="Arial"/>
                <w:color w:val="FF0000"/>
                <w:sz w:val="24"/>
                <w:szCs w:val="24"/>
              </w:rPr>
            </w:pPr>
          </w:p>
        </w:tc>
      </w:tr>
    </w:tbl>
    <w:p w:rsidR="00DC0DBE" w:rsidRDefault="00DC0DBE" w:rsidP="00DC0DBE">
      <w:r>
        <w:tab/>
      </w:r>
    </w:p>
    <w:p w:rsidR="004835F5" w:rsidRDefault="004835F5" w:rsidP="004835F5">
      <w:pPr>
        <w:pStyle w:val="NormalWeb"/>
        <w:rPr>
          <w:rFonts w:ascii="Arial" w:hAnsi="Arial" w:cs="Arial"/>
          <w:color w:val="000000"/>
        </w:rPr>
      </w:pPr>
    </w:p>
    <w:sectPr w:rsidR="004835F5" w:rsidSect="004F56C5">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70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D2" w:rsidRDefault="006F71D2" w:rsidP="006F71D2">
      <w:pPr>
        <w:spacing w:after="0" w:line="240" w:lineRule="auto"/>
      </w:pPr>
      <w:r>
        <w:separator/>
      </w:r>
    </w:p>
  </w:endnote>
  <w:endnote w:type="continuationSeparator" w:id="0">
    <w:p w:rsidR="006F71D2" w:rsidRDefault="006F71D2" w:rsidP="006F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D2" w:rsidRDefault="006F71D2" w:rsidP="006F71D2">
      <w:pPr>
        <w:spacing w:after="0" w:line="240" w:lineRule="auto"/>
      </w:pPr>
      <w:r>
        <w:separator/>
      </w:r>
    </w:p>
  </w:footnote>
  <w:footnote w:type="continuationSeparator" w:id="0">
    <w:p w:rsidR="006F71D2" w:rsidRDefault="006F71D2" w:rsidP="006F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D2" w:rsidRDefault="006F7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000"/>
    <w:multiLevelType w:val="hybridMultilevel"/>
    <w:tmpl w:val="07D2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39"/>
    <w:rsid w:val="0008750A"/>
    <w:rsid w:val="000C793A"/>
    <w:rsid w:val="001C7F63"/>
    <w:rsid w:val="00207B32"/>
    <w:rsid w:val="003770B3"/>
    <w:rsid w:val="003A61BA"/>
    <w:rsid w:val="003E7ACD"/>
    <w:rsid w:val="004835F5"/>
    <w:rsid w:val="004F56C5"/>
    <w:rsid w:val="006461BA"/>
    <w:rsid w:val="00662C27"/>
    <w:rsid w:val="006A7D15"/>
    <w:rsid w:val="006F71D2"/>
    <w:rsid w:val="00816343"/>
    <w:rsid w:val="008C1A9A"/>
    <w:rsid w:val="00AD5BEB"/>
    <w:rsid w:val="00BA732E"/>
    <w:rsid w:val="00BD0486"/>
    <w:rsid w:val="00C11D27"/>
    <w:rsid w:val="00C36B3A"/>
    <w:rsid w:val="00C42F39"/>
    <w:rsid w:val="00D15F8A"/>
    <w:rsid w:val="00DC0DBE"/>
    <w:rsid w:val="00F140E3"/>
    <w:rsid w:val="00F51BCE"/>
    <w:rsid w:val="00F8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7B7BB"/>
  <w15:docId w15:val="{915118ED-E86C-4B35-9FE9-0B6899CE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6B3A"/>
    <w:rPr>
      <w:b/>
      <w:bCs/>
    </w:rPr>
  </w:style>
  <w:style w:type="paragraph" w:styleId="Header">
    <w:name w:val="header"/>
    <w:basedOn w:val="Normal"/>
    <w:link w:val="HeaderChar"/>
    <w:uiPriority w:val="99"/>
    <w:unhideWhenUsed/>
    <w:rsid w:val="006F7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1D2"/>
  </w:style>
  <w:style w:type="paragraph" w:styleId="Footer">
    <w:name w:val="footer"/>
    <w:basedOn w:val="Normal"/>
    <w:link w:val="FooterChar"/>
    <w:uiPriority w:val="99"/>
    <w:unhideWhenUsed/>
    <w:rsid w:val="006F7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1D2"/>
  </w:style>
  <w:style w:type="paragraph" w:styleId="ListParagraph">
    <w:name w:val="List Paragraph"/>
    <w:basedOn w:val="Normal"/>
    <w:uiPriority w:val="34"/>
    <w:qFormat/>
    <w:rsid w:val="004F56C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1485">
      <w:bodyDiv w:val="1"/>
      <w:marLeft w:val="0"/>
      <w:marRight w:val="0"/>
      <w:marTop w:val="0"/>
      <w:marBottom w:val="0"/>
      <w:divBdr>
        <w:top w:val="none" w:sz="0" w:space="0" w:color="auto"/>
        <w:left w:val="none" w:sz="0" w:space="0" w:color="auto"/>
        <w:bottom w:val="none" w:sz="0" w:space="0" w:color="auto"/>
        <w:right w:val="none" w:sz="0" w:space="0" w:color="auto"/>
      </w:divBdr>
      <w:divsChild>
        <w:div w:id="351615706">
          <w:marLeft w:val="0"/>
          <w:marRight w:val="0"/>
          <w:marTop w:val="0"/>
          <w:marBottom w:val="0"/>
          <w:divBdr>
            <w:top w:val="none" w:sz="0" w:space="0" w:color="auto"/>
            <w:left w:val="none" w:sz="0" w:space="0" w:color="auto"/>
            <w:bottom w:val="none" w:sz="0" w:space="0" w:color="auto"/>
            <w:right w:val="none" w:sz="0" w:space="0" w:color="auto"/>
          </w:divBdr>
        </w:div>
        <w:div w:id="1348290945">
          <w:marLeft w:val="0"/>
          <w:marRight w:val="0"/>
          <w:marTop w:val="0"/>
          <w:marBottom w:val="0"/>
          <w:divBdr>
            <w:top w:val="none" w:sz="0" w:space="0" w:color="auto"/>
            <w:left w:val="none" w:sz="0" w:space="0" w:color="auto"/>
            <w:bottom w:val="none" w:sz="0" w:space="0" w:color="auto"/>
            <w:right w:val="none" w:sz="0" w:space="0" w:color="auto"/>
          </w:divBdr>
        </w:div>
        <w:div w:id="1846746356">
          <w:marLeft w:val="0"/>
          <w:marRight w:val="0"/>
          <w:marTop w:val="0"/>
          <w:marBottom w:val="0"/>
          <w:divBdr>
            <w:top w:val="none" w:sz="0" w:space="0" w:color="auto"/>
            <w:left w:val="none" w:sz="0" w:space="0" w:color="auto"/>
            <w:bottom w:val="none" w:sz="0" w:space="0" w:color="auto"/>
            <w:right w:val="none" w:sz="0" w:space="0" w:color="auto"/>
          </w:divBdr>
        </w:div>
        <w:div w:id="1172649124">
          <w:marLeft w:val="0"/>
          <w:marRight w:val="0"/>
          <w:marTop w:val="0"/>
          <w:marBottom w:val="0"/>
          <w:divBdr>
            <w:top w:val="none" w:sz="0" w:space="0" w:color="auto"/>
            <w:left w:val="none" w:sz="0" w:space="0" w:color="auto"/>
            <w:bottom w:val="none" w:sz="0" w:space="0" w:color="auto"/>
            <w:right w:val="none" w:sz="0" w:space="0" w:color="auto"/>
          </w:divBdr>
        </w:div>
        <w:div w:id="476721782">
          <w:marLeft w:val="0"/>
          <w:marRight w:val="0"/>
          <w:marTop w:val="0"/>
          <w:marBottom w:val="0"/>
          <w:divBdr>
            <w:top w:val="none" w:sz="0" w:space="0" w:color="auto"/>
            <w:left w:val="none" w:sz="0" w:space="0" w:color="auto"/>
            <w:bottom w:val="none" w:sz="0" w:space="0" w:color="auto"/>
            <w:right w:val="none" w:sz="0" w:space="0" w:color="auto"/>
          </w:divBdr>
        </w:div>
        <w:div w:id="1844392815">
          <w:marLeft w:val="0"/>
          <w:marRight w:val="0"/>
          <w:marTop w:val="0"/>
          <w:marBottom w:val="0"/>
          <w:divBdr>
            <w:top w:val="none" w:sz="0" w:space="0" w:color="auto"/>
            <w:left w:val="none" w:sz="0" w:space="0" w:color="auto"/>
            <w:bottom w:val="none" w:sz="0" w:space="0" w:color="auto"/>
            <w:right w:val="none" w:sz="0" w:space="0" w:color="auto"/>
          </w:divBdr>
        </w:div>
        <w:div w:id="981731806">
          <w:marLeft w:val="0"/>
          <w:marRight w:val="0"/>
          <w:marTop w:val="0"/>
          <w:marBottom w:val="0"/>
          <w:divBdr>
            <w:top w:val="none" w:sz="0" w:space="0" w:color="auto"/>
            <w:left w:val="none" w:sz="0" w:space="0" w:color="auto"/>
            <w:bottom w:val="none" w:sz="0" w:space="0" w:color="auto"/>
            <w:right w:val="none" w:sz="0" w:space="0" w:color="auto"/>
          </w:divBdr>
        </w:div>
      </w:divsChild>
    </w:div>
    <w:div w:id="381514437">
      <w:bodyDiv w:val="1"/>
      <w:marLeft w:val="0"/>
      <w:marRight w:val="0"/>
      <w:marTop w:val="0"/>
      <w:marBottom w:val="0"/>
      <w:divBdr>
        <w:top w:val="none" w:sz="0" w:space="0" w:color="auto"/>
        <w:left w:val="none" w:sz="0" w:space="0" w:color="auto"/>
        <w:bottom w:val="none" w:sz="0" w:space="0" w:color="auto"/>
        <w:right w:val="none" w:sz="0" w:space="0" w:color="auto"/>
      </w:divBdr>
      <w:divsChild>
        <w:div w:id="510026321">
          <w:marLeft w:val="0"/>
          <w:marRight w:val="0"/>
          <w:marTop w:val="0"/>
          <w:marBottom w:val="0"/>
          <w:divBdr>
            <w:top w:val="none" w:sz="0" w:space="0" w:color="auto"/>
            <w:left w:val="none" w:sz="0" w:space="0" w:color="auto"/>
            <w:bottom w:val="none" w:sz="0" w:space="0" w:color="auto"/>
            <w:right w:val="none" w:sz="0" w:space="0" w:color="auto"/>
          </w:divBdr>
        </w:div>
        <w:div w:id="1882479615">
          <w:marLeft w:val="0"/>
          <w:marRight w:val="0"/>
          <w:marTop w:val="0"/>
          <w:marBottom w:val="0"/>
          <w:divBdr>
            <w:top w:val="none" w:sz="0" w:space="0" w:color="auto"/>
            <w:left w:val="none" w:sz="0" w:space="0" w:color="auto"/>
            <w:bottom w:val="none" w:sz="0" w:space="0" w:color="auto"/>
            <w:right w:val="none" w:sz="0" w:space="0" w:color="auto"/>
          </w:divBdr>
        </w:div>
        <w:div w:id="1873347137">
          <w:marLeft w:val="0"/>
          <w:marRight w:val="0"/>
          <w:marTop w:val="0"/>
          <w:marBottom w:val="0"/>
          <w:divBdr>
            <w:top w:val="none" w:sz="0" w:space="0" w:color="auto"/>
            <w:left w:val="none" w:sz="0" w:space="0" w:color="auto"/>
            <w:bottom w:val="none" w:sz="0" w:space="0" w:color="auto"/>
            <w:right w:val="none" w:sz="0" w:space="0" w:color="auto"/>
          </w:divBdr>
        </w:div>
        <w:div w:id="1950241084">
          <w:marLeft w:val="0"/>
          <w:marRight w:val="0"/>
          <w:marTop w:val="0"/>
          <w:marBottom w:val="0"/>
          <w:divBdr>
            <w:top w:val="none" w:sz="0" w:space="0" w:color="auto"/>
            <w:left w:val="none" w:sz="0" w:space="0" w:color="auto"/>
            <w:bottom w:val="none" w:sz="0" w:space="0" w:color="auto"/>
            <w:right w:val="none" w:sz="0" w:space="0" w:color="auto"/>
          </w:divBdr>
        </w:div>
      </w:divsChild>
    </w:div>
    <w:div w:id="21017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08A3-480A-4C8D-A94B-AC2335A8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Bolton</dc:creator>
  <cp:lastModifiedBy>julia@westhorndon.essex.sch.uk</cp:lastModifiedBy>
  <cp:revision>2</cp:revision>
  <dcterms:created xsi:type="dcterms:W3CDTF">2016-03-02T15:28:00Z</dcterms:created>
  <dcterms:modified xsi:type="dcterms:W3CDTF">2016-03-02T15:28:00Z</dcterms:modified>
</cp:coreProperties>
</file>